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D" w:rsidRDefault="001D07D7" w:rsidP="001D0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PRORAČUNA </w:t>
      </w:r>
    </w:p>
    <w:p w:rsidR="001D07D7" w:rsidRDefault="001D07D7" w:rsidP="001D0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PLAN PRORAČUNA OPĆINE MARIJANCI ZA 2024. GODINU  I PROJEKCIJA ZA 2025. GODINU I 2026. GODINU</w:t>
      </w:r>
    </w:p>
    <w:p w:rsidR="001D07D7" w:rsidRDefault="001D07D7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1D07D7" w:rsidRDefault="001D07D7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1D07D7" w:rsidRDefault="001D07D7" w:rsidP="001D0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DIO PRORAČUNA</w:t>
      </w:r>
    </w:p>
    <w:p w:rsidR="00D64E77" w:rsidRDefault="00D64E77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D64E77" w:rsidRPr="00D64E77" w:rsidRDefault="00D64E77" w:rsidP="00D64E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77">
        <w:rPr>
          <w:rFonts w:ascii="Times New Roman" w:eastAsia="Times New Roman" w:hAnsi="Times New Roman" w:cs="Times New Roman"/>
          <w:b/>
          <w:sz w:val="24"/>
          <w:szCs w:val="24"/>
        </w:rPr>
        <w:t>PRIHODI I PRIMICI</w:t>
      </w:r>
    </w:p>
    <w:p w:rsidR="00D64E77" w:rsidRPr="00D64E77" w:rsidRDefault="00D64E77" w:rsidP="00D64E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77" w:rsidRPr="00D64E77" w:rsidRDefault="00D64E77" w:rsidP="00D6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77">
        <w:rPr>
          <w:rFonts w:ascii="Times New Roman" w:eastAsia="Times New Roman" w:hAnsi="Times New Roman" w:cs="Times New Roman"/>
          <w:sz w:val="24"/>
          <w:szCs w:val="24"/>
        </w:rPr>
        <w:t xml:space="preserve">Prihodi poslovanja </w:t>
      </w:r>
      <w:r w:rsidRPr="00D64E77">
        <w:rPr>
          <w:rFonts w:ascii="Times New Roman" w:hAnsi="Times New Roman" w:cs="Times New Roman"/>
          <w:sz w:val="24"/>
          <w:szCs w:val="24"/>
        </w:rPr>
        <w:t xml:space="preserve">Općine Marijanci za 2024. godinu planirani su u iznosu od 1.850.940,00 eura, a čine ih prihodi od poreza planirani u iznosu od 391.400,00 eura, </w:t>
      </w:r>
      <w:r w:rsidRPr="00D64E77">
        <w:rPr>
          <w:rFonts w:ascii="Times New Roman" w:hAnsi="Times New Roman" w:cs="Times New Roman"/>
          <w:bCs/>
          <w:sz w:val="24"/>
          <w:szCs w:val="24"/>
        </w:rPr>
        <w:t>pomoći iz inozemstva i od subjekata unutar općeg proračuna</w:t>
      </w:r>
      <w:r w:rsidRPr="00D64E77">
        <w:rPr>
          <w:rFonts w:ascii="Times New Roman" w:hAnsi="Times New Roman" w:cs="Times New Roman"/>
          <w:sz w:val="24"/>
          <w:szCs w:val="24"/>
        </w:rPr>
        <w:t xml:space="preserve"> planirani su u iznosu od 940.540,00 eura, prihodi od imovine u iznosu od 333.600,00 eura, prihodi od upravnih i administrativnih pristojbi, pristojbi po posebnim propisima i naknada planirani u iznosu od 122.000,00 eura, </w:t>
      </w:r>
      <w:r w:rsidRPr="00D64E77">
        <w:rPr>
          <w:rFonts w:ascii="Times New Roman" w:hAnsi="Times New Roman" w:cs="Times New Roman"/>
          <w:bCs/>
          <w:sz w:val="24"/>
          <w:szCs w:val="24"/>
        </w:rPr>
        <w:t xml:space="preserve">prihodi od prodaje proizvoda i robe te pruženih usluga i prihodi od donacija </w:t>
      </w:r>
      <w:r w:rsidRPr="00D64E77">
        <w:rPr>
          <w:rFonts w:ascii="Times New Roman" w:hAnsi="Times New Roman" w:cs="Times New Roman"/>
          <w:sz w:val="24"/>
          <w:szCs w:val="24"/>
        </w:rPr>
        <w:t xml:space="preserve">planirani u iznosu od 63.400,00 eura, dok su </w:t>
      </w:r>
      <w:r w:rsidRPr="00D64E77">
        <w:rPr>
          <w:rFonts w:ascii="Times New Roman" w:hAnsi="Times New Roman" w:cs="Times New Roman"/>
          <w:bCs/>
          <w:sz w:val="24"/>
          <w:szCs w:val="24"/>
        </w:rPr>
        <w:t>p</w:t>
      </w:r>
      <w:r w:rsidRPr="00D64E77">
        <w:rPr>
          <w:rFonts w:ascii="Times New Roman" w:hAnsi="Times New Roman" w:cs="Times New Roman"/>
          <w:sz w:val="24"/>
          <w:szCs w:val="24"/>
        </w:rPr>
        <w:t xml:space="preserve">rihodi od prodaje nefinancijske imovine planirani u iznosu od 718.500,00 eura (za prihode od prodaje proizvedene dugotrajne imovine 1.500,00 eura i za prihode od prodaje </w:t>
      </w:r>
      <w:proofErr w:type="spellStart"/>
      <w:r w:rsidRPr="00D64E77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D64E77">
        <w:rPr>
          <w:rFonts w:ascii="Times New Roman" w:hAnsi="Times New Roman" w:cs="Times New Roman"/>
          <w:sz w:val="24"/>
          <w:szCs w:val="24"/>
        </w:rPr>
        <w:t xml:space="preserve"> dugotrajne imovine 717.000,00 eura). </w:t>
      </w:r>
    </w:p>
    <w:p w:rsidR="00D64E77" w:rsidRPr="00D64E77" w:rsidRDefault="00D64E77" w:rsidP="00D64E77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64E77">
        <w:rPr>
          <w:rFonts w:ascii="Times New Roman" w:hAnsi="Times New Roman" w:cs="Times New Roman"/>
          <w:bCs/>
          <w:sz w:val="24"/>
          <w:szCs w:val="24"/>
        </w:rPr>
        <w:t xml:space="preserve">Primici od financijske imovine i zaduživanja </w:t>
      </w:r>
      <w:r w:rsidRPr="00D64E77">
        <w:rPr>
          <w:rFonts w:ascii="Times New Roman" w:hAnsi="Times New Roman" w:cs="Times New Roman"/>
          <w:sz w:val="24"/>
          <w:szCs w:val="24"/>
        </w:rPr>
        <w:t>planirani u iznosu od 455.990,00 eura.</w:t>
      </w:r>
    </w:p>
    <w:p w:rsidR="00D64E77" w:rsidRDefault="00D64E77" w:rsidP="001D07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4836" w:type="pct"/>
        <w:jc w:val="center"/>
        <w:tblInd w:w="-27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0"/>
        <w:gridCol w:w="1455"/>
        <w:gridCol w:w="1455"/>
        <w:gridCol w:w="1453"/>
      </w:tblGrid>
      <w:tr w:rsidR="00D64E77" w:rsidRPr="008E2CFB" w:rsidTr="00D64E77">
        <w:trPr>
          <w:trHeight w:val="744"/>
          <w:jc w:val="center"/>
        </w:trPr>
        <w:tc>
          <w:tcPr>
            <w:tcW w:w="2571" w:type="pct"/>
            <w:shd w:val="clear" w:color="auto" w:fill="B8CCE4" w:themeFill="accent1" w:themeFillTint="66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Hlk64526596"/>
            <w:r w:rsidRPr="009B1F63">
              <w:rPr>
                <w:rFonts w:cstheme="minorHAnsi"/>
                <w:b/>
              </w:rPr>
              <w:t>PRIHODI I PRIMICI</w:t>
            </w:r>
          </w:p>
        </w:tc>
        <w:tc>
          <w:tcPr>
            <w:tcW w:w="810" w:type="pct"/>
            <w:shd w:val="clear" w:color="auto" w:fill="B8CCE4" w:themeFill="accent1" w:themeFillTint="66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B1F63">
              <w:rPr>
                <w:rFonts w:cstheme="minorHAnsi"/>
                <w:b/>
              </w:rPr>
              <w:t>PLAN</w:t>
            </w:r>
          </w:p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B1F63">
              <w:rPr>
                <w:rFonts w:cstheme="minorHAnsi"/>
                <w:b/>
              </w:rPr>
              <w:t>2024.</w:t>
            </w:r>
          </w:p>
        </w:tc>
        <w:tc>
          <w:tcPr>
            <w:tcW w:w="810" w:type="pct"/>
            <w:shd w:val="clear" w:color="auto" w:fill="B8CCE4" w:themeFill="accent1" w:themeFillTint="66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B1F63">
              <w:rPr>
                <w:rFonts w:cstheme="minorHAnsi"/>
                <w:b/>
              </w:rPr>
              <w:t>PROJEKCIJE 2025.</w:t>
            </w:r>
          </w:p>
        </w:tc>
        <w:tc>
          <w:tcPr>
            <w:tcW w:w="809" w:type="pct"/>
            <w:shd w:val="clear" w:color="auto" w:fill="B8CCE4" w:themeFill="accent1" w:themeFillTint="66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B1F63">
              <w:rPr>
                <w:rFonts w:cstheme="minorHAnsi"/>
                <w:b/>
              </w:rPr>
              <w:t>PROJEKCIJE 2026.</w:t>
            </w:r>
          </w:p>
        </w:tc>
      </w:tr>
      <w:bookmarkEnd w:id="0"/>
      <w:tr w:rsidR="00D64E77" w:rsidRPr="008E2CFB" w:rsidTr="00D64E77">
        <w:trPr>
          <w:trHeight w:val="662"/>
          <w:jc w:val="center"/>
        </w:trPr>
        <w:tc>
          <w:tcPr>
            <w:tcW w:w="2571" w:type="pct"/>
            <w:shd w:val="clear" w:color="auto" w:fill="D9D9D9" w:themeFill="background1" w:themeFillShade="D9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F63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F63">
              <w:rPr>
                <w:rFonts w:cstheme="minorHAnsi"/>
                <w:b/>
                <w:bCs/>
                <w:sz w:val="20"/>
                <w:szCs w:val="20"/>
              </w:rPr>
              <w:t>1.850.940,00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F63">
              <w:rPr>
                <w:rFonts w:cstheme="minorHAnsi"/>
                <w:b/>
                <w:bCs/>
                <w:sz w:val="20"/>
                <w:szCs w:val="20"/>
              </w:rPr>
              <w:t>2.031.070,00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F63">
              <w:rPr>
                <w:rFonts w:cstheme="minorHAnsi"/>
                <w:b/>
                <w:sz w:val="20"/>
                <w:szCs w:val="20"/>
              </w:rPr>
              <w:t>2.114.070,00</w:t>
            </w:r>
          </w:p>
        </w:tc>
      </w:tr>
      <w:tr w:rsidR="00D64E77" w:rsidRPr="008E2CFB" w:rsidTr="00D64E77">
        <w:trPr>
          <w:trHeight w:val="700"/>
          <w:jc w:val="center"/>
        </w:trPr>
        <w:tc>
          <w:tcPr>
            <w:tcW w:w="2571" w:type="pct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1F63">
              <w:rPr>
                <w:rFonts w:cstheme="minorHAnsi"/>
                <w:b/>
                <w:sz w:val="20"/>
                <w:szCs w:val="20"/>
              </w:rPr>
              <w:t>61</w:t>
            </w:r>
            <w:r w:rsidRPr="009B1F63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810" w:type="pct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1F63">
              <w:rPr>
                <w:rFonts w:cstheme="minorHAnsi"/>
                <w:bCs/>
                <w:sz w:val="20"/>
                <w:szCs w:val="20"/>
              </w:rPr>
              <w:t>391.400,00</w:t>
            </w:r>
          </w:p>
        </w:tc>
        <w:tc>
          <w:tcPr>
            <w:tcW w:w="810" w:type="pct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1F63">
              <w:rPr>
                <w:rFonts w:cstheme="minorHAnsi"/>
                <w:bCs/>
                <w:sz w:val="20"/>
                <w:szCs w:val="20"/>
              </w:rPr>
              <w:t>471.570,00</w:t>
            </w:r>
          </w:p>
        </w:tc>
        <w:tc>
          <w:tcPr>
            <w:tcW w:w="809" w:type="pct"/>
            <w:vAlign w:val="center"/>
          </w:tcPr>
          <w:p w:rsidR="00D64E77" w:rsidRPr="009B1F63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1F63">
              <w:rPr>
                <w:rFonts w:cstheme="minorHAnsi"/>
                <w:bCs/>
                <w:sz w:val="20"/>
                <w:szCs w:val="20"/>
              </w:rPr>
              <w:t>489.470,00</w:t>
            </w:r>
          </w:p>
        </w:tc>
      </w:tr>
      <w:tr w:rsidR="00D64E77" w:rsidRPr="008E2CFB" w:rsidTr="00D64E77">
        <w:trPr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63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810" w:type="pct"/>
            <w:vAlign w:val="center"/>
          </w:tcPr>
          <w:p w:rsidR="00D64E77" w:rsidRPr="009D0B48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940.540,00</w:t>
            </w:r>
          </w:p>
        </w:tc>
        <w:tc>
          <w:tcPr>
            <w:tcW w:w="810" w:type="pct"/>
            <w:vAlign w:val="center"/>
          </w:tcPr>
          <w:p w:rsidR="00D64E77" w:rsidRPr="00CC335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1.105.100,00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1.150.100,00</w:t>
            </w:r>
          </w:p>
        </w:tc>
      </w:tr>
      <w:tr w:rsidR="00D64E77" w:rsidRPr="008E2CFB" w:rsidTr="00D64E77">
        <w:trPr>
          <w:trHeight w:val="635"/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64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810" w:type="pct"/>
            <w:vAlign w:val="center"/>
          </w:tcPr>
          <w:p w:rsidR="00D64E77" w:rsidRPr="009D0B48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333.600,00</w:t>
            </w:r>
          </w:p>
        </w:tc>
        <w:tc>
          <w:tcPr>
            <w:tcW w:w="810" w:type="pct"/>
            <w:vAlign w:val="center"/>
          </w:tcPr>
          <w:p w:rsidR="00D64E77" w:rsidRPr="00CC335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335.300,00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355.300,00</w:t>
            </w:r>
          </w:p>
        </w:tc>
      </w:tr>
      <w:tr w:rsidR="00D64E77" w:rsidRPr="008E2CFB" w:rsidTr="00D64E77">
        <w:trPr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810" w:type="pct"/>
            <w:vAlign w:val="center"/>
          </w:tcPr>
          <w:p w:rsidR="00D64E77" w:rsidRPr="009D0B48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122.000,00</w:t>
            </w:r>
          </w:p>
        </w:tc>
        <w:tc>
          <w:tcPr>
            <w:tcW w:w="810" w:type="pct"/>
            <w:vAlign w:val="center"/>
          </w:tcPr>
          <w:p w:rsidR="00D64E77" w:rsidRPr="00CC335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118.100,00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118.200,00</w:t>
            </w:r>
          </w:p>
        </w:tc>
      </w:tr>
      <w:tr w:rsidR="00D64E77" w:rsidRPr="008E2CFB" w:rsidTr="00D64E77">
        <w:trPr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C7681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66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Prihodi od prodaje proizvoda i robe te pruženih</w:t>
            </w:r>
            <w:r w:rsidR="00C76819">
              <w:rPr>
                <w:rFonts w:cstheme="minorHAnsi"/>
                <w:bCs/>
                <w:sz w:val="20"/>
                <w:szCs w:val="20"/>
              </w:rPr>
              <w:t xml:space="preserve"> usluga, prihodi od donacija </w:t>
            </w:r>
          </w:p>
        </w:tc>
        <w:tc>
          <w:tcPr>
            <w:tcW w:w="810" w:type="pct"/>
            <w:vAlign w:val="center"/>
          </w:tcPr>
          <w:p w:rsidR="00D64E77" w:rsidRPr="009D0B48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63.400,00</w:t>
            </w:r>
          </w:p>
        </w:tc>
        <w:tc>
          <w:tcPr>
            <w:tcW w:w="810" w:type="pct"/>
            <w:vAlign w:val="center"/>
          </w:tcPr>
          <w:p w:rsidR="00D64E77" w:rsidRPr="00CC335B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1.000,00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1.000,00</w:t>
            </w:r>
          </w:p>
        </w:tc>
      </w:tr>
      <w:tr w:rsidR="00D64E77" w:rsidRPr="008E2CFB" w:rsidTr="00D64E77">
        <w:trPr>
          <w:trHeight w:val="1007"/>
          <w:jc w:val="center"/>
        </w:trPr>
        <w:tc>
          <w:tcPr>
            <w:tcW w:w="2571" w:type="pct"/>
            <w:shd w:val="clear" w:color="auto" w:fill="D9D9D9" w:themeFill="background1" w:themeFillShade="D9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563805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718.500,00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560C5A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18.500,00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18.500,00</w:t>
            </w:r>
          </w:p>
        </w:tc>
      </w:tr>
      <w:tr w:rsidR="00D64E77" w:rsidRPr="008E2CFB" w:rsidTr="00D64E77">
        <w:trPr>
          <w:trHeight w:val="1007"/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8E2CF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</w:t>
            </w:r>
            <w:r w:rsidRPr="008E2CFB">
              <w:rPr>
                <w:rFonts w:cstheme="minorHAnsi"/>
                <w:bCs/>
                <w:sz w:val="20"/>
                <w:szCs w:val="20"/>
              </w:rPr>
              <w:t>proizvedene</w:t>
            </w:r>
            <w:proofErr w:type="spellEnd"/>
            <w:r w:rsidRPr="008E2CFB">
              <w:rPr>
                <w:rFonts w:cstheme="minorHAnsi"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810" w:type="pct"/>
            <w:vAlign w:val="center"/>
          </w:tcPr>
          <w:p w:rsidR="00D64E77" w:rsidRPr="00563805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717.000,00</w:t>
            </w:r>
          </w:p>
        </w:tc>
        <w:tc>
          <w:tcPr>
            <w:tcW w:w="810" w:type="pct"/>
            <w:vAlign w:val="center"/>
          </w:tcPr>
          <w:p w:rsidR="00D64E77" w:rsidRPr="00560C5A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17.000,00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17.000,00</w:t>
            </w:r>
          </w:p>
        </w:tc>
      </w:tr>
      <w:tr w:rsidR="00D64E77" w:rsidRPr="008E2CFB" w:rsidTr="00D64E77">
        <w:trPr>
          <w:trHeight w:val="1007"/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4101EE">
              <w:rPr>
                <w:rFonts w:cstheme="minorHAnsi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810" w:type="pct"/>
            <w:vAlign w:val="center"/>
          </w:tcPr>
          <w:p w:rsidR="00D64E77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1.500,00</w:t>
            </w:r>
          </w:p>
        </w:tc>
        <w:tc>
          <w:tcPr>
            <w:tcW w:w="810" w:type="pct"/>
            <w:vAlign w:val="center"/>
          </w:tcPr>
          <w:p w:rsidR="00D64E77" w:rsidRPr="00560C5A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1.500,00</w:t>
            </w:r>
          </w:p>
        </w:tc>
        <w:tc>
          <w:tcPr>
            <w:tcW w:w="809" w:type="pct"/>
            <w:vAlign w:val="center"/>
          </w:tcPr>
          <w:p w:rsidR="00D64E77" w:rsidRPr="00421CBD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1.500,00</w:t>
            </w:r>
          </w:p>
        </w:tc>
      </w:tr>
      <w:tr w:rsidR="00D64E77" w:rsidRPr="008E2CFB" w:rsidTr="00D64E77">
        <w:trPr>
          <w:trHeight w:val="1007"/>
          <w:jc w:val="center"/>
        </w:trPr>
        <w:tc>
          <w:tcPr>
            <w:tcW w:w="2571" w:type="pct"/>
            <w:shd w:val="clear" w:color="auto" w:fill="D9D9D9" w:themeFill="background1" w:themeFillShade="D9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563805" w:rsidRDefault="00D64E77" w:rsidP="00F0731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455.990,00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D64E77" w:rsidRPr="00560C5A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150.000,00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D64E77" w:rsidRPr="00E36782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40.000,00</w:t>
            </w:r>
          </w:p>
        </w:tc>
      </w:tr>
      <w:tr w:rsidR="00D64E77" w:rsidRPr="008E2CFB" w:rsidTr="00D64E77">
        <w:trPr>
          <w:trHeight w:val="879"/>
          <w:jc w:val="center"/>
        </w:trPr>
        <w:tc>
          <w:tcPr>
            <w:tcW w:w="2571" w:type="pct"/>
            <w:vAlign w:val="center"/>
          </w:tcPr>
          <w:p w:rsidR="00D64E77" w:rsidRPr="008E2CFB" w:rsidRDefault="00D64E77" w:rsidP="00F0731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84 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810" w:type="pct"/>
            <w:vAlign w:val="center"/>
          </w:tcPr>
          <w:p w:rsidR="00D64E77" w:rsidRPr="00563805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455.990,00</w:t>
            </w:r>
          </w:p>
        </w:tc>
        <w:tc>
          <w:tcPr>
            <w:tcW w:w="810" w:type="pct"/>
            <w:vAlign w:val="center"/>
          </w:tcPr>
          <w:p w:rsidR="00D64E77" w:rsidRPr="00560C5A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150.000,00</w:t>
            </w:r>
          </w:p>
        </w:tc>
        <w:tc>
          <w:tcPr>
            <w:tcW w:w="809" w:type="pct"/>
            <w:vAlign w:val="center"/>
          </w:tcPr>
          <w:p w:rsidR="00D64E77" w:rsidRPr="00E36782" w:rsidRDefault="00D64E77" w:rsidP="00F0731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40.000,00</w:t>
            </w:r>
          </w:p>
        </w:tc>
      </w:tr>
    </w:tbl>
    <w:p w:rsidR="00EA5A50" w:rsidRDefault="00EA5A50" w:rsidP="001D07D7">
      <w:pPr>
        <w:rPr>
          <w:rFonts w:ascii="Times New Roman" w:hAnsi="Times New Roman" w:cs="Times New Roman"/>
          <w:sz w:val="24"/>
          <w:szCs w:val="24"/>
        </w:rPr>
      </w:pPr>
    </w:p>
    <w:p w:rsidR="00D64E77" w:rsidRPr="00D64E77" w:rsidRDefault="00D64E77" w:rsidP="001D07D7">
      <w:pPr>
        <w:rPr>
          <w:rFonts w:ascii="Times New Roman" w:hAnsi="Times New Roman" w:cs="Times New Roman"/>
          <w:b/>
          <w:sz w:val="24"/>
          <w:szCs w:val="24"/>
        </w:rPr>
      </w:pPr>
      <w:r w:rsidRPr="00D64E77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64E77" w:rsidRPr="00D64E77" w:rsidRDefault="00D64E77" w:rsidP="00D64E77">
      <w:pPr>
        <w:spacing w:after="0"/>
        <w:jc w:val="both"/>
        <w:rPr>
          <w:rFonts w:cstheme="minorHAnsi"/>
          <w:bCs/>
          <w:sz w:val="24"/>
          <w:szCs w:val="24"/>
        </w:rPr>
      </w:pPr>
      <w:r w:rsidRPr="00D64E77">
        <w:rPr>
          <w:rFonts w:cstheme="minorHAnsi"/>
          <w:bCs/>
          <w:sz w:val="24"/>
          <w:szCs w:val="24"/>
        </w:rPr>
        <w:t>Rashodi poslovanja</w:t>
      </w:r>
    </w:p>
    <w:p w:rsidR="00D64E77" w:rsidRPr="00D64E77" w:rsidRDefault="00D64E77" w:rsidP="00D64E77">
      <w:pPr>
        <w:spacing w:after="0"/>
        <w:jc w:val="both"/>
        <w:rPr>
          <w:rFonts w:cstheme="minorHAnsi"/>
          <w:bCs/>
          <w:sz w:val="24"/>
          <w:szCs w:val="24"/>
        </w:rPr>
      </w:pPr>
      <w:r w:rsidRPr="00D64E77">
        <w:rPr>
          <w:rFonts w:cstheme="minorHAnsi"/>
          <w:bCs/>
          <w:sz w:val="24"/>
          <w:szCs w:val="24"/>
        </w:rPr>
        <w:t>Rashodi poslovanja Općine Marijanci za 2024. godinu planirani su u iznosu od 1.070.650,00 eura, a čine ih:</w:t>
      </w:r>
    </w:p>
    <w:p w:rsidR="00D64E77" w:rsidRPr="00D64E77" w:rsidRDefault="00D64E77" w:rsidP="00D64E7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 xml:space="preserve">Rashodi za zaposlene planirani u iznosu od 128.900,00 eura, </w:t>
      </w:r>
    </w:p>
    <w:p w:rsidR="00D64E77" w:rsidRPr="00D64E77" w:rsidRDefault="00D64E77" w:rsidP="00D64E7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 xml:space="preserve">Materijalni rashodi planirani u iznosu od 415.610,00 eura, </w:t>
      </w:r>
    </w:p>
    <w:p w:rsidR="00D64E77" w:rsidRPr="00D64E77" w:rsidRDefault="00D64E77" w:rsidP="00D64E7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 xml:space="preserve">Financijski rashodi planirani u iznosu od 88.070,00 eura, </w:t>
      </w:r>
    </w:p>
    <w:p w:rsidR="00D64E77" w:rsidRPr="00D64E77" w:rsidRDefault="00D64E77" w:rsidP="00D64E7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>Naknade građanima i kućanstvima na temelju osiguranja i druge naknade planirane u iznosu od 123.300,00 eura,</w:t>
      </w:r>
    </w:p>
    <w:p w:rsidR="00D64E77" w:rsidRPr="00D64E77" w:rsidRDefault="00D64E77" w:rsidP="00D64E7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 xml:space="preserve">Ostali rashodi planirani u iznosu od 314.770,00 eura. </w:t>
      </w:r>
    </w:p>
    <w:p w:rsidR="00D64E77" w:rsidRPr="00D64E77" w:rsidRDefault="00D64E77" w:rsidP="00D64E7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64E77" w:rsidRPr="00D64E77" w:rsidRDefault="00D64E77" w:rsidP="00D64E77">
      <w:p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bCs/>
          <w:sz w:val="24"/>
          <w:szCs w:val="24"/>
        </w:rPr>
        <w:t>Rashodi za nabavu nefinancijske imovine</w:t>
      </w:r>
    </w:p>
    <w:p w:rsidR="00D64E77" w:rsidRPr="00D64E77" w:rsidRDefault="00D64E77" w:rsidP="00D64E77">
      <w:pPr>
        <w:spacing w:after="0"/>
        <w:jc w:val="both"/>
        <w:rPr>
          <w:rFonts w:cstheme="minorHAnsi"/>
          <w:bCs/>
          <w:sz w:val="24"/>
          <w:szCs w:val="24"/>
        </w:rPr>
      </w:pPr>
      <w:r w:rsidRPr="00D64E77">
        <w:rPr>
          <w:rFonts w:cstheme="minorHAnsi"/>
          <w:bCs/>
          <w:sz w:val="24"/>
          <w:szCs w:val="24"/>
        </w:rPr>
        <w:t>Rashodi za nabavu nefinancijske imovine planirani u iznosu od 1.767.060,00 eura, a čine ih:</w:t>
      </w:r>
    </w:p>
    <w:p w:rsidR="00D64E77" w:rsidRPr="00D64E77" w:rsidRDefault="00D64E77" w:rsidP="00D64E7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>Rashodi za nabavu proizvedene dugotrajne imovine planirani u iznosu od 1.767.060,00 eura.</w:t>
      </w:r>
    </w:p>
    <w:p w:rsidR="00D64E77" w:rsidRPr="00D64E77" w:rsidRDefault="00D64E77" w:rsidP="00D64E77">
      <w:pPr>
        <w:spacing w:after="0"/>
        <w:jc w:val="both"/>
        <w:rPr>
          <w:rFonts w:cstheme="minorHAnsi"/>
          <w:sz w:val="24"/>
          <w:szCs w:val="24"/>
        </w:rPr>
      </w:pPr>
    </w:p>
    <w:p w:rsidR="00D64E77" w:rsidRPr="00D64E77" w:rsidRDefault="00D64E77" w:rsidP="00D64E77">
      <w:pPr>
        <w:spacing w:after="0"/>
        <w:jc w:val="both"/>
        <w:rPr>
          <w:rFonts w:cstheme="minorHAnsi"/>
          <w:bCs/>
          <w:sz w:val="24"/>
          <w:szCs w:val="24"/>
        </w:rPr>
      </w:pPr>
      <w:r w:rsidRPr="00D64E77">
        <w:rPr>
          <w:rFonts w:cstheme="minorHAnsi"/>
          <w:bCs/>
          <w:sz w:val="24"/>
          <w:szCs w:val="24"/>
        </w:rPr>
        <w:t>Izdaci za financijsku imovinu i otplate zajmova planirani u iznosu od 187.720,00 eura</w:t>
      </w:r>
    </w:p>
    <w:p w:rsidR="00D64E77" w:rsidRPr="00D64E77" w:rsidRDefault="00D64E77" w:rsidP="00D64E77">
      <w:pPr>
        <w:jc w:val="both"/>
        <w:rPr>
          <w:rFonts w:cstheme="minorHAnsi"/>
          <w:sz w:val="24"/>
          <w:szCs w:val="24"/>
        </w:rPr>
      </w:pPr>
      <w:r w:rsidRPr="00D64E77">
        <w:rPr>
          <w:rFonts w:cstheme="minorHAnsi"/>
          <w:sz w:val="24"/>
          <w:szCs w:val="24"/>
        </w:rPr>
        <w:t xml:space="preserve">Izdaci za otplatu glavnice primljenih kredita i zajmova Općine Marijanci za 2024. godinu planirani su u iznosu od 187.720,00 eura. </w:t>
      </w:r>
    </w:p>
    <w:p w:rsidR="00D64E77" w:rsidRDefault="00D64E77" w:rsidP="001D07D7">
      <w:pPr>
        <w:rPr>
          <w:rFonts w:ascii="Times New Roman" w:hAnsi="Times New Roman" w:cs="Times New Roman"/>
          <w:sz w:val="24"/>
          <w:szCs w:val="24"/>
        </w:rPr>
      </w:pPr>
    </w:p>
    <w:p w:rsidR="006E2492" w:rsidRDefault="006E2492" w:rsidP="001D07D7">
      <w:pPr>
        <w:rPr>
          <w:rFonts w:ascii="Times New Roman" w:hAnsi="Times New Roman" w:cs="Times New Roman"/>
          <w:sz w:val="24"/>
          <w:szCs w:val="24"/>
        </w:rPr>
      </w:pPr>
    </w:p>
    <w:p w:rsidR="006E2492" w:rsidRDefault="006E2492" w:rsidP="001D07D7">
      <w:pPr>
        <w:rPr>
          <w:rFonts w:ascii="Times New Roman" w:hAnsi="Times New Roman" w:cs="Times New Roman"/>
          <w:sz w:val="24"/>
          <w:szCs w:val="24"/>
        </w:rPr>
      </w:pPr>
    </w:p>
    <w:p w:rsidR="006E2492" w:rsidRDefault="006E2492" w:rsidP="001D07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4831" w:type="pct"/>
        <w:jc w:val="center"/>
        <w:tblInd w:w="-1779" w:type="dxa"/>
        <w:tblLayout w:type="fixed"/>
        <w:tblLook w:val="04A0" w:firstRow="1" w:lastRow="0" w:firstColumn="1" w:lastColumn="0" w:noHBand="0" w:noVBand="1"/>
      </w:tblPr>
      <w:tblGrid>
        <w:gridCol w:w="3374"/>
        <w:gridCol w:w="1538"/>
        <w:gridCol w:w="1539"/>
        <w:gridCol w:w="2523"/>
      </w:tblGrid>
      <w:tr w:rsidR="006E2492" w:rsidRPr="006E2492" w:rsidTr="006E2492">
        <w:trPr>
          <w:trHeight w:val="841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6E2492">
              <w:rPr>
                <w:rFonts w:eastAsia="Calibri" w:cstheme="minorHAnsi"/>
                <w:b/>
                <w:color w:val="4F81BD" w:themeColor="accent1"/>
              </w:rPr>
              <w:lastRenderedPageBreak/>
              <w:t>RASHODI I IZDACI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6E2492">
              <w:rPr>
                <w:rFonts w:eastAsia="Calibri" w:cstheme="minorHAnsi"/>
                <w:b/>
                <w:color w:val="4F81BD" w:themeColor="accent1"/>
              </w:rPr>
              <w:t>PLAN</w:t>
            </w:r>
          </w:p>
          <w:p w:rsidR="006E2492" w:rsidRPr="006E2492" w:rsidRDefault="006E2492" w:rsidP="006E2492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6E2492">
              <w:rPr>
                <w:rFonts w:eastAsia="Calibri" w:cstheme="minorHAnsi"/>
                <w:b/>
                <w:color w:val="4F81BD" w:themeColor="accent1"/>
              </w:rPr>
              <w:t>2024.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6E2492">
              <w:rPr>
                <w:rFonts w:eastAsia="Calibri" w:cstheme="minorHAnsi"/>
                <w:b/>
                <w:color w:val="4F81BD" w:themeColor="accent1"/>
              </w:rPr>
              <w:t>PROJEKCIJE 2025.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6E2492">
              <w:rPr>
                <w:rFonts w:eastAsia="Calibri" w:cstheme="minorHAnsi"/>
                <w:b/>
                <w:color w:val="4F81BD" w:themeColor="accent1"/>
              </w:rPr>
              <w:t>PROJEKCIJE 2026.</w:t>
            </w:r>
          </w:p>
        </w:tc>
      </w:tr>
      <w:tr w:rsidR="006E2492" w:rsidRPr="006E2492" w:rsidTr="006E2492">
        <w:trPr>
          <w:trHeight w:val="755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1.070.650,00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1.045.390,00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1.248.390,00</w:t>
            </w:r>
          </w:p>
        </w:tc>
      </w:tr>
      <w:tr w:rsidR="006E2492" w:rsidRPr="006E2492" w:rsidTr="006E2492">
        <w:trPr>
          <w:trHeight w:val="755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31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128.900,00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106.700,00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106.700,00</w:t>
            </w:r>
          </w:p>
        </w:tc>
      </w:tr>
      <w:tr w:rsidR="006E2492" w:rsidRPr="006E2492" w:rsidTr="006E2492">
        <w:trPr>
          <w:trHeight w:val="755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32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415.610,00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462.750,00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450.650,00</w:t>
            </w:r>
          </w:p>
        </w:tc>
      </w:tr>
      <w:tr w:rsidR="006E2492" w:rsidRPr="006E2492" w:rsidTr="006E2492">
        <w:trPr>
          <w:trHeight w:val="755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34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88.070,00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73.070,00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288.170,00</w:t>
            </w:r>
          </w:p>
        </w:tc>
      </w:tr>
      <w:tr w:rsidR="006E2492" w:rsidRPr="006E2492" w:rsidTr="006E2492">
        <w:trPr>
          <w:trHeight w:val="977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37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123.300,00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123.300,00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123.300,00</w:t>
            </w:r>
          </w:p>
        </w:tc>
      </w:tr>
      <w:tr w:rsidR="006E2492" w:rsidRPr="006E2492" w:rsidTr="006E2492">
        <w:trPr>
          <w:trHeight w:val="977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38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314.770,00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279.570,00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279.570,00</w:t>
            </w:r>
          </w:p>
        </w:tc>
      </w:tr>
      <w:tr w:rsidR="006E2492" w:rsidRPr="006E2492" w:rsidTr="006E2492">
        <w:trPr>
          <w:trHeight w:val="932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1.767.060,00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969.800,00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799.800,00</w:t>
            </w:r>
          </w:p>
        </w:tc>
      </w:tr>
      <w:tr w:rsidR="006E2492" w:rsidRPr="006E2492" w:rsidTr="006E2492">
        <w:trPr>
          <w:trHeight w:val="1413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42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1.767.060,00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939.800,00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769.800,00</w:t>
            </w:r>
          </w:p>
        </w:tc>
      </w:tr>
      <w:tr w:rsidR="006E2492" w:rsidRPr="006E2492" w:rsidTr="006E2492">
        <w:trPr>
          <w:trHeight w:val="1413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45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30.000,00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30.000,00</w:t>
            </w:r>
          </w:p>
        </w:tc>
      </w:tr>
      <w:tr w:rsidR="006E2492" w:rsidRPr="006E2492" w:rsidTr="006E2492">
        <w:trPr>
          <w:trHeight w:val="1157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187.720,00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184.380,00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>124.380,00</w:t>
            </w:r>
          </w:p>
        </w:tc>
      </w:tr>
      <w:tr w:rsidR="006E2492" w:rsidRPr="006E2492" w:rsidTr="006E2492">
        <w:trPr>
          <w:trHeight w:val="1157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53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Izdaci za dionice i udjele u glavnici</w:t>
            </w: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0,00</w:t>
            </w:r>
          </w:p>
        </w:tc>
      </w:tr>
      <w:tr w:rsidR="006E2492" w:rsidRPr="006E2492" w:rsidTr="006E2492">
        <w:trPr>
          <w:trHeight w:val="1398"/>
          <w:jc w:val="center"/>
        </w:trPr>
        <w:tc>
          <w:tcPr>
            <w:tcW w:w="3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492">
              <w:rPr>
                <w:rFonts w:eastAsia="Calibri" w:cstheme="minorHAnsi"/>
                <w:b/>
                <w:sz w:val="20"/>
                <w:szCs w:val="20"/>
              </w:rPr>
              <w:t xml:space="preserve">54 </w:t>
            </w:r>
            <w:r w:rsidRPr="006E2492">
              <w:rPr>
                <w:rFonts w:eastAsia="Calibri" w:cstheme="minorHAnsi"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187.720,00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184.380,00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2492" w:rsidRPr="006E2492" w:rsidRDefault="006E2492" w:rsidP="006E24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2492">
              <w:rPr>
                <w:rFonts w:eastAsia="Calibri" w:cstheme="minorHAnsi"/>
                <w:bCs/>
                <w:sz w:val="20"/>
                <w:szCs w:val="20"/>
              </w:rPr>
              <w:t>124.380,00</w:t>
            </w:r>
          </w:p>
        </w:tc>
      </w:tr>
    </w:tbl>
    <w:p w:rsidR="009B2404" w:rsidRDefault="009B2404" w:rsidP="001D07D7">
      <w:pPr>
        <w:rPr>
          <w:rFonts w:ascii="Times New Roman" w:hAnsi="Times New Roman" w:cs="Times New Roman"/>
          <w:sz w:val="24"/>
          <w:szCs w:val="24"/>
        </w:rPr>
      </w:pPr>
    </w:p>
    <w:p w:rsidR="00D64E77" w:rsidRDefault="009B2404" w:rsidP="001D07D7">
      <w:pPr>
        <w:rPr>
          <w:rFonts w:ascii="Times New Roman" w:hAnsi="Times New Roman" w:cs="Times New Roman"/>
          <w:b/>
          <w:sz w:val="24"/>
          <w:szCs w:val="24"/>
        </w:rPr>
      </w:pPr>
      <w:r w:rsidRPr="009B2404">
        <w:rPr>
          <w:rFonts w:ascii="Times New Roman" w:hAnsi="Times New Roman" w:cs="Times New Roman"/>
          <w:b/>
          <w:sz w:val="24"/>
          <w:szCs w:val="24"/>
        </w:rPr>
        <w:lastRenderedPageBreak/>
        <w:t>POSEBNI DIO PRORAČUNA</w:t>
      </w:r>
    </w:p>
    <w:p w:rsidR="00B964DB" w:rsidRDefault="00B964DB" w:rsidP="001D07D7">
      <w:pPr>
        <w:rPr>
          <w:rFonts w:ascii="Times New Roman" w:hAnsi="Times New Roman" w:cs="Times New Roman"/>
          <w:sz w:val="24"/>
          <w:szCs w:val="24"/>
        </w:rPr>
      </w:pPr>
      <w:r w:rsidRPr="00B964DB">
        <w:rPr>
          <w:rFonts w:ascii="Times New Roman" w:hAnsi="Times New Roman" w:cs="Times New Roman"/>
          <w:sz w:val="24"/>
          <w:szCs w:val="24"/>
        </w:rPr>
        <w:t>Posebni dio proračuna temelji se na obrazloženju programa koji se daje kroz obrazloženje aktivnosti i projekata zajedno s ciljevima i pokazateljima uspješnosti iz akata strateškog planiranja.</w:t>
      </w:r>
    </w:p>
    <w:p w:rsidR="00B964DB" w:rsidRDefault="00B964DB" w:rsidP="001D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1200, SUFINANCIRANJE VJERSKIH ZAJEDNICA</w:t>
      </w:r>
    </w:p>
    <w:p w:rsidR="00821BE4" w:rsidRDefault="00821BE4" w:rsidP="001D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sljedećem iznosu: 5.000,00</w:t>
      </w:r>
      <w:r w:rsidR="006A25BA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, a sadrži sljedeću aktivnost:</w:t>
      </w:r>
    </w:p>
    <w:p w:rsidR="00821BE4" w:rsidRDefault="00821BE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BE4">
        <w:rPr>
          <w:rFonts w:ascii="Times New Roman" w:hAnsi="Times New Roman" w:cs="Times New Roman"/>
          <w:sz w:val="24"/>
          <w:szCs w:val="24"/>
        </w:rPr>
        <w:t>AKTIVNOST:</w:t>
      </w:r>
      <w:r w:rsidR="00B302E6">
        <w:rPr>
          <w:rFonts w:ascii="Times New Roman" w:hAnsi="Times New Roman" w:cs="Times New Roman"/>
          <w:sz w:val="24"/>
          <w:szCs w:val="24"/>
        </w:rPr>
        <w:t xml:space="preserve"> </w:t>
      </w:r>
      <w:r w:rsidRPr="00821BE4">
        <w:rPr>
          <w:rFonts w:ascii="Times New Roman" w:hAnsi="Times New Roman" w:cs="Times New Roman"/>
          <w:sz w:val="24"/>
          <w:szCs w:val="24"/>
        </w:rPr>
        <w:t>A120001, DONACIJE VJERSKIM ZAJEDNICAMA, planirana u iznosu 5.000,00 EUR</w:t>
      </w:r>
    </w:p>
    <w:p w:rsidR="00821BE4" w:rsidRDefault="00821BE4" w:rsidP="0082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PROGRAM:1100, PREDSTAVNIČKA I IZVRŠNA TIJELA</w:t>
      </w:r>
    </w:p>
    <w:p w:rsidR="00821BE4" w:rsidRDefault="00821BE4" w:rsidP="0082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sljedećem iznosu: 71.070,00 EUR, a sadrži sljedeće aktivnosti:</w:t>
      </w:r>
    </w:p>
    <w:p w:rsidR="00821BE4" w:rsidRDefault="00821BE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 A110013, POVRAT  EU SREDSTAVA, planirana u iznosu 24.570,00 EUR</w:t>
      </w:r>
    </w:p>
    <w:p w:rsidR="00821BE4" w:rsidRDefault="00821BE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 A110009, LOKALNA AKCIJSKA GRUPA, planiran u iznosu 700,00 EUR</w:t>
      </w:r>
    </w:p>
    <w:p w:rsidR="00821BE4" w:rsidRDefault="004653F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A110008, SUFINANCIRANJE CRVENOG KRIŽA, planirana u iznosu 4.000,00 EUR</w:t>
      </w:r>
    </w:p>
    <w:p w:rsidR="004653F4" w:rsidRDefault="004653F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A110007, PROSLAVA BLAGDANA BOŽIĆA – NOVE GODINE, planirana u iznosu 13.300,00 EUR</w:t>
      </w:r>
    </w:p>
    <w:p w:rsidR="004653F4" w:rsidRDefault="004653F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A110004, NAKNADA ZA UREĐENJE VODA, planirana u iznosu 1.000,00 EUR</w:t>
      </w:r>
    </w:p>
    <w:p w:rsidR="004653F4" w:rsidRDefault="004653F4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A110003, ODRŽAVANJE DANA OPĆINE I DRUGE PRIGODE, </w:t>
      </w:r>
      <w:r w:rsidR="00FF5E9C">
        <w:rPr>
          <w:rFonts w:ascii="Times New Roman" w:hAnsi="Times New Roman" w:cs="Times New Roman"/>
          <w:sz w:val="24"/>
          <w:szCs w:val="24"/>
        </w:rPr>
        <w:t>planirana u iznosu 13.300,00 EUR</w:t>
      </w:r>
    </w:p>
    <w:p w:rsidR="00FF5E9C" w:rsidRDefault="00FF5E9C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A110002, SUFINANCIRANJE POLITIČKIH STRANAKA, planirana u iznosu 1.200,00 EUR</w:t>
      </w:r>
    </w:p>
    <w:p w:rsidR="00FF5E9C" w:rsidRDefault="00FF5E9C" w:rsidP="00821B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</w:t>
      </w:r>
      <w:r w:rsidR="002669C0">
        <w:rPr>
          <w:rFonts w:ascii="Times New Roman" w:hAnsi="Times New Roman" w:cs="Times New Roman"/>
          <w:sz w:val="24"/>
          <w:szCs w:val="24"/>
        </w:rPr>
        <w:t>: A110001, NAKNADE ZA RAD PREDSTAVNIČKIH I IZVRŠNIH TIJELA, planirana u iznosu 13.000,00 EUR</w:t>
      </w:r>
    </w:p>
    <w:p w:rsidR="00E56B09" w:rsidRDefault="00E56B09" w:rsidP="00E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je obuhvaćen rashod za sufinanciranje crvenog križa, lokalne akcijske grupe, p</w:t>
      </w:r>
      <w:r w:rsidR="00E81B55">
        <w:rPr>
          <w:rFonts w:ascii="Times New Roman" w:hAnsi="Times New Roman" w:cs="Times New Roman"/>
          <w:sz w:val="24"/>
          <w:szCs w:val="24"/>
        </w:rPr>
        <w:t>olitičkih stranaka te za djelotvorno izvršavanje funkcije Općinskog vijeća s ciljem</w:t>
      </w:r>
      <w:r w:rsidR="00B302E6">
        <w:rPr>
          <w:rFonts w:ascii="Times New Roman" w:hAnsi="Times New Roman" w:cs="Times New Roman"/>
          <w:sz w:val="24"/>
          <w:szCs w:val="24"/>
        </w:rPr>
        <w:t xml:space="preserve"> aktivnog sudjelovanja vijećnika</w:t>
      </w:r>
      <w:r w:rsidR="00E81B55">
        <w:rPr>
          <w:rFonts w:ascii="Times New Roman" w:hAnsi="Times New Roman" w:cs="Times New Roman"/>
          <w:sz w:val="24"/>
          <w:szCs w:val="24"/>
        </w:rPr>
        <w:t xml:space="preserve"> u radu Općinskog vijeća.</w:t>
      </w:r>
    </w:p>
    <w:p w:rsidR="00D25F47" w:rsidRDefault="00D25F47" w:rsidP="00E56B09">
      <w:pPr>
        <w:rPr>
          <w:rFonts w:ascii="Times New Roman" w:hAnsi="Times New Roman" w:cs="Times New Roman"/>
          <w:sz w:val="24"/>
          <w:szCs w:val="24"/>
        </w:rPr>
      </w:pPr>
    </w:p>
    <w:p w:rsidR="00D25F47" w:rsidRDefault="00D25F47" w:rsidP="00E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2003, PRORAČUNSKA PRIČUVA,</w:t>
      </w:r>
    </w:p>
    <w:p w:rsidR="00D25F47" w:rsidRDefault="00D25F47" w:rsidP="00E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je u slijedećem iznosu: 4.000,00 EUR, a raspoređena je na aktivnost:</w:t>
      </w:r>
    </w:p>
    <w:p w:rsidR="00D25F47" w:rsidRDefault="00D25F47" w:rsidP="00D25F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5F47">
        <w:rPr>
          <w:rFonts w:ascii="Times New Roman" w:hAnsi="Times New Roman" w:cs="Times New Roman"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F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200301, NEPLANIRANI I NEPREDVIĐENI IZDACI, planirana u iznosu 4.000,00 EUR</w:t>
      </w:r>
    </w:p>
    <w:p w:rsidR="00E050AC" w:rsidRDefault="00E050AC" w:rsidP="00E0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2002, IZVRŠNA TIJELA</w:t>
      </w:r>
    </w:p>
    <w:p w:rsidR="00E050AC" w:rsidRDefault="00E050AC" w:rsidP="00E0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Planiran je u iznosu 206.410,00 EUR, a sadrži sljedeće aktivnosti:</w:t>
      </w:r>
    </w:p>
    <w:p w:rsidR="00E050AC" w:rsidRDefault="00E050AC" w:rsidP="00E050A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A200203, ADMINISTRATIVNO I TEHNIČKO OSOBLJE, planirana u iznosu: 192.110,00 EUR</w:t>
      </w:r>
    </w:p>
    <w:p w:rsidR="00E050AC" w:rsidRDefault="00E050AC" w:rsidP="00E050A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A200202, SUFINANCIRANJE NAKNADE ZA POŠTANSKE USLUGE, planirana u iznosu 1.000,00 EUR</w:t>
      </w:r>
    </w:p>
    <w:p w:rsidR="00E050AC" w:rsidRDefault="00E050AC" w:rsidP="00E050A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A200201, MEDIJI (RADIO, TELEVIZIJA, BILTEN I WEB), planirana u iznosu 13.300,00 EUR</w:t>
      </w:r>
    </w:p>
    <w:p w:rsidR="00230A49" w:rsidRDefault="00874C4B" w:rsidP="002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je omogućena</w:t>
      </w:r>
      <w:r w:rsidR="00230A49">
        <w:rPr>
          <w:rFonts w:ascii="Times New Roman" w:hAnsi="Times New Roman" w:cs="Times New Roman"/>
          <w:sz w:val="24"/>
          <w:szCs w:val="24"/>
        </w:rPr>
        <w:t xml:space="preserve"> redovita djelatnost Upravnog odjela. Program obuhvaća rashode za zaposlene, te ostale rashode potrebne za redovitu djelatnost ureda. Cilj ovog programa je pravovremeno i učinkovito obavljanje zadataka iz nadležnosti, transparentan rad kroz dostupnost mještanima tokom radnog vremena</w:t>
      </w:r>
      <w:r w:rsidR="005C3CB4">
        <w:rPr>
          <w:rFonts w:ascii="Times New Roman" w:hAnsi="Times New Roman" w:cs="Times New Roman"/>
          <w:sz w:val="24"/>
          <w:szCs w:val="24"/>
        </w:rPr>
        <w:t xml:space="preserve">, te informiranje mještana putem medija. </w:t>
      </w:r>
    </w:p>
    <w:p w:rsidR="005C3CB4" w:rsidRDefault="005C3CB4" w:rsidP="00230A49">
      <w:pPr>
        <w:rPr>
          <w:rFonts w:ascii="Times New Roman" w:hAnsi="Times New Roman" w:cs="Times New Roman"/>
          <w:sz w:val="24"/>
          <w:szCs w:val="24"/>
        </w:rPr>
      </w:pPr>
    </w:p>
    <w:p w:rsidR="005C3CB4" w:rsidRDefault="005C3CB4" w:rsidP="002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:</w:t>
      </w:r>
      <w:r w:rsidR="00874C4B">
        <w:rPr>
          <w:rFonts w:ascii="Times New Roman" w:hAnsi="Times New Roman" w:cs="Times New Roman"/>
          <w:sz w:val="24"/>
          <w:szCs w:val="24"/>
        </w:rPr>
        <w:t xml:space="preserve"> </w:t>
      </w:r>
      <w:r w:rsidR="000873C4">
        <w:rPr>
          <w:rFonts w:ascii="Times New Roman" w:hAnsi="Times New Roman" w:cs="Times New Roman"/>
          <w:sz w:val="24"/>
          <w:szCs w:val="24"/>
        </w:rPr>
        <w:t>2001, ZAŠTITA OD POŽARA I CIVILNA ZAŠTITA</w:t>
      </w:r>
    </w:p>
    <w:p w:rsidR="000873C4" w:rsidRDefault="000873C4" w:rsidP="002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u iznosu 39.870,00 EURA, a raspoređen je na sljedeće aktivnosti:</w:t>
      </w:r>
    </w:p>
    <w:p w:rsidR="000873C4" w:rsidRDefault="000873C4" w:rsidP="000873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A200103, GORSKA SLUŽBA SPAŠAVANJA, planiran u iznosu 700,00 EUR</w:t>
      </w:r>
    </w:p>
    <w:p w:rsidR="000873C4" w:rsidRDefault="000873C4" w:rsidP="000873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A200102, VATROGASNA ZAJEDNICA OPĆINE MARIJANCI, planiran u iznosu 35.170,00 EUR</w:t>
      </w:r>
    </w:p>
    <w:p w:rsidR="000873C4" w:rsidRDefault="000873C4" w:rsidP="000873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A200101, OPREMANJE I OBUKA JEDINICA CIVILNE ZAŠTITE, planirana u iznosu 4.000,00 EUR</w:t>
      </w:r>
    </w:p>
    <w:p w:rsidR="000873C4" w:rsidRDefault="0072792E" w:rsidP="0008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su obuhvaćeni rashodi vezani za rad vatrogastva i civilne zaštite. Cilj ovog programa je osigurati sredstva za redovito obavljane zadataka čija je svrha učinkovitost rada na koristi svih mještana.</w:t>
      </w:r>
    </w:p>
    <w:p w:rsidR="005E7070" w:rsidRDefault="005E7070" w:rsidP="000873C4">
      <w:pPr>
        <w:rPr>
          <w:rFonts w:ascii="Times New Roman" w:hAnsi="Times New Roman" w:cs="Times New Roman"/>
          <w:sz w:val="24"/>
          <w:szCs w:val="24"/>
        </w:rPr>
      </w:pPr>
    </w:p>
    <w:p w:rsidR="005E7070" w:rsidRDefault="005E7070" w:rsidP="0008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3017, KOMUNALNA DJELATNOST</w:t>
      </w:r>
    </w:p>
    <w:p w:rsidR="005E7070" w:rsidRDefault="005E7070" w:rsidP="0008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u iznosu 15.000,00 EUR, raspoređen na sljedeće aktivnosti:</w:t>
      </w:r>
    </w:p>
    <w:p w:rsidR="005E7070" w:rsidRDefault="005E7070" w:rsidP="005E707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</w:t>
      </w:r>
      <w:r w:rsidR="00874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301701, ULAGANJE U KOMUNALNO PODUZEĆE DOROSLOV, planirana u iznosu 15.000,00 EUR</w:t>
      </w:r>
    </w:p>
    <w:p w:rsidR="005E7070" w:rsidRDefault="005E7070" w:rsidP="005E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se stvaraju preduvjeti  za proceduralne radnje za dobivanje nove tvrtke za učinkovito izvršavanje komunalnih usluga.</w:t>
      </w:r>
    </w:p>
    <w:p w:rsidR="005E7070" w:rsidRDefault="00216ED6" w:rsidP="005E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3015, ZAŠTITA KUĆANSTVA OD ZARAZNIH BOLESTI, </w:t>
      </w:r>
    </w:p>
    <w:p w:rsidR="00216ED6" w:rsidRDefault="00216ED6" w:rsidP="005E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 je u sljedećem iznosu: 48.900,00 EUR, a sadrži sljedeće aktivnosti: </w:t>
      </w:r>
    </w:p>
    <w:p w:rsidR="00216ED6" w:rsidRDefault="00216ED6" w:rsidP="00216ED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A301501, DERATIZACIJA, DEZINSEKCIJA I OSTALE USLUGE,  planirana u iznosu 48.900,00 EUR</w:t>
      </w:r>
    </w:p>
    <w:p w:rsidR="00967341" w:rsidRDefault="00967341" w:rsidP="009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Ovim programom su obuhvaćeni rashodi za aktivno provođene deratizacije i dezinsekcije, sufinanciranje troškova pregleda mesa na trihinelu, financiranje odvoza animalnog otpada. Svrha ovog programa je pomoć i zaštita kućanstava svih mještana.</w:t>
      </w:r>
    </w:p>
    <w:p w:rsidR="00550DC4" w:rsidRDefault="00550DC4" w:rsidP="00967341">
      <w:pPr>
        <w:rPr>
          <w:rFonts w:ascii="Times New Roman" w:hAnsi="Times New Roman" w:cs="Times New Roman"/>
          <w:sz w:val="24"/>
          <w:szCs w:val="24"/>
        </w:rPr>
      </w:pPr>
    </w:p>
    <w:p w:rsidR="00550DC4" w:rsidRDefault="00550DC4" w:rsidP="009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3014, JAVNI RADOVI</w:t>
      </w:r>
    </w:p>
    <w:p w:rsidR="00550DC4" w:rsidRDefault="00550DC4" w:rsidP="009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je planiran iznos za plaće i doprinose u iznosu 5.100,00 EUR</w:t>
      </w:r>
    </w:p>
    <w:p w:rsidR="00550DC4" w:rsidRDefault="00550DC4" w:rsidP="009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3013, IZGRADNJA I ODRŽAVANJE OBJEKATA KOMUNALNE INFRASTRUKTURE </w:t>
      </w:r>
    </w:p>
    <w:p w:rsidR="00550DC4" w:rsidRDefault="00550DC4" w:rsidP="0096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1.137.260,00 EUR, a raspoređuje</w:t>
      </w:r>
      <w:r w:rsidR="002E3047">
        <w:rPr>
          <w:rFonts w:ascii="Times New Roman" w:hAnsi="Times New Roman" w:cs="Times New Roman"/>
          <w:sz w:val="24"/>
          <w:szCs w:val="24"/>
        </w:rPr>
        <w:t xml:space="preserve"> se na sljedeće aktivnosti:</w:t>
      </w:r>
    </w:p>
    <w:p w:rsidR="002E3047" w:rsidRDefault="002E3047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K301312, MODERNIZACIJA JAVNE RASVJETE BOČKINCI/ČAMAGAJEVCI, planirana u iznosu 33.000,00 EUR</w:t>
      </w:r>
    </w:p>
    <w:p w:rsidR="002E3047" w:rsidRDefault="002E3047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K301311, JAVNA RASVJETA ČRNKOVCI, planirana u iznosu 30.000,00 EUR</w:t>
      </w:r>
    </w:p>
    <w:p w:rsidR="002E3047" w:rsidRDefault="002E3047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K301309, OBNOVA I PODIZANJE VIŠEGODIŠNJIH NASADA, planiran u iznosu 30.000,00 EUR</w:t>
      </w:r>
    </w:p>
    <w:p w:rsidR="002E3047" w:rsidRDefault="002E3047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K301307, NERAZVRSTANA CESTA BOČKINCI, planirana u iznosu 150.000,00 EUR</w:t>
      </w:r>
    </w:p>
    <w:p w:rsidR="002E3047" w:rsidRDefault="002E3047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 K301306 SPOJNA CESTA KUNIŠINCI, planirana u iznosu 607.000,00 EUR</w:t>
      </w:r>
    </w:p>
    <w:p w:rsidR="005D2AF0" w:rsidRDefault="005D2AF0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K301301 IZGRADNJA PJEŠAČKIH STAZA, planiran u iznosu 95.260,00</w:t>
      </w:r>
      <w:r w:rsidR="00D5109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D51090" w:rsidRDefault="00D51090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A301312, UREĐENJE I ODRŽAVANJE GROBLJA, planirana u iznosu 10.000,00 EUR</w:t>
      </w:r>
    </w:p>
    <w:p w:rsidR="00D51090" w:rsidRDefault="00D51090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A301308, IZMJEŠTANJE TRAFOSTANICE, planirana u iznosu 5.000,00 EUR</w:t>
      </w:r>
    </w:p>
    <w:p w:rsidR="002C45C4" w:rsidRDefault="002C45C4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A301306, ODRŽAVANJE JAVNIH POVRŠINA, planirana u iznosu 62.000,00 EUR</w:t>
      </w:r>
    </w:p>
    <w:p w:rsidR="002C45C4" w:rsidRDefault="002C45C4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A301305, RASHODI ZA UREĐENJE JAVNE RASVJETE, planirana u iznosu 8.000,00 EUR</w:t>
      </w:r>
    </w:p>
    <w:p w:rsidR="002C45C4" w:rsidRDefault="002C45C4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A:301304, ČIŠĆENJE SNIJEGA S NERAZVRSTANIH CESTA, planirana u iznosu 7.000,00 EUR</w:t>
      </w:r>
    </w:p>
    <w:p w:rsidR="007E3452" w:rsidRDefault="007E3452" w:rsidP="002E30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A301302, ODRŽAVANJE I REKONSTRUKCIJA NERAZVRSTANIH CESTA, planirana u iznosu 100.000,00 EUR</w:t>
      </w:r>
    </w:p>
    <w:p w:rsidR="001A578D" w:rsidRPr="001A578D" w:rsidRDefault="001A578D" w:rsidP="001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ovog</w:t>
      </w:r>
      <w:r w:rsidR="002233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programa je održavanje lokalnih prometnica, održavanje funkcionalnosti javne rasvjete s ciljem osiguranja funkcionalnosti u prometu</w:t>
      </w:r>
      <w:r w:rsidR="0025705B">
        <w:rPr>
          <w:rFonts w:ascii="Times New Roman" w:hAnsi="Times New Roman" w:cs="Times New Roman"/>
          <w:sz w:val="24"/>
          <w:szCs w:val="24"/>
        </w:rPr>
        <w:t>, održavanje groblja u funkcionalnom stanju, briga o prostornom uređenju, održavanju i izgradnji objekata komunalne infrastrukture s čime se nastoji podići razina kvalitete života svih mještana.</w:t>
      </w:r>
    </w:p>
    <w:p w:rsidR="00EA1E77" w:rsidRDefault="00EA1E77" w:rsidP="00EA1E77">
      <w:pPr>
        <w:rPr>
          <w:rFonts w:ascii="Times New Roman" w:hAnsi="Times New Roman" w:cs="Times New Roman"/>
          <w:sz w:val="24"/>
          <w:szCs w:val="24"/>
        </w:rPr>
      </w:pPr>
    </w:p>
    <w:p w:rsidR="00EA1E77" w:rsidRDefault="00EA1E77" w:rsidP="00EA1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PROGRAM: 3012, GRAĐENJE I OPREMANJE OBJEKATA JAVNE NAMJENE</w:t>
      </w:r>
    </w:p>
    <w:p w:rsidR="00EA1E77" w:rsidRDefault="00EA1E77" w:rsidP="00EA1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25.000,00 EUR, a raspoređuje se na sljedeće aktivnosti:</w:t>
      </w:r>
    </w:p>
    <w:p w:rsidR="00EA1E77" w:rsidRDefault="00EA1E77" w:rsidP="00EA1E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PROJEKT: T301204, REKONSTRUKCIJA POSLOVNOG OBJEKTA, planirana u iznosu 20.000,00 EUR</w:t>
      </w:r>
    </w:p>
    <w:p w:rsidR="00223317" w:rsidRDefault="00223317" w:rsidP="00EA1E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PROJEKT: T301201, DRUŠTVENI DOM KUNIŠINCI, planiran u iznosu 5.000,00 EUR</w:t>
      </w:r>
    </w:p>
    <w:p w:rsidR="00046544" w:rsidRDefault="00046544" w:rsidP="00046544">
      <w:pPr>
        <w:rPr>
          <w:rFonts w:ascii="Times New Roman" w:hAnsi="Times New Roman" w:cs="Times New Roman"/>
          <w:sz w:val="24"/>
          <w:szCs w:val="24"/>
        </w:rPr>
      </w:pPr>
    </w:p>
    <w:p w:rsidR="00046544" w:rsidRDefault="00046544" w:rsidP="0004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3011, ZAŠTITA OKOLIŠA</w:t>
      </w:r>
    </w:p>
    <w:p w:rsidR="00046544" w:rsidRDefault="00046544" w:rsidP="0004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 je u iznosu 11.000,00 EUR , a sadrži sljedeću aktivnost: </w:t>
      </w:r>
    </w:p>
    <w:p w:rsidR="00046544" w:rsidRDefault="00046544" w:rsidP="000465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A301101, MJERE GOSPODARENJA OTPADOM, planiranom u iznosu 11.000,00 EUR</w:t>
      </w:r>
    </w:p>
    <w:p w:rsidR="00046544" w:rsidRDefault="007F7BA3" w:rsidP="0004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3010, PREDŠKOLSKI ODGOJ</w:t>
      </w:r>
    </w:p>
    <w:p w:rsidR="007F7BA3" w:rsidRDefault="007F7BA3" w:rsidP="0004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sljedećem iznosu: 160.700,00 EUR, a sadrži sljedeće aktivnosti:</w:t>
      </w:r>
    </w:p>
    <w:p w:rsidR="007F7BA3" w:rsidRDefault="007F7BA3" w:rsidP="007F7BA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A425EC">
        <w:rPr>
          <w:rFonts w:ascii="Times New Roman" w:hAnsi="Times New Roman" w:cs="Times New Roman"/>
          <w:sz w:val="24"/>
          <w:szCs w:val="24"/>
        </w:rPr>
        <w:t>: A301002, MATERIJALNI TROŠKOVI IUSLUGE, planirana u iznosu 13.600,00 EUR</w:t>
      </w:r>
    </w:p>
    <w:p w:rsidR="00A425EC" w:rsidRDefault="00A425EC" w:rsidP="007F7BA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A301001, SUFINANCIRANJE RADA DJEČJEG VRTIĆA, planiran u iznosu 147.100,00 EUR</w:t>
      </w:r>
    </w:p>
    <w:p w:rsidR="005101A6" w:rsidRDefault="005101A6" w:rsidP="0051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3009, DEMOGRAFSKE MJERE I AKTIVNOSTI</w:t>
      </w:r>
    </w:p>
    <w:p w:rsidR="005101A6" w:rsidRDefault="005101A6" w:rsidP="0051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92.400,00 EUR, a raspoređuje se na sljedeće aktivnosti: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A300908, POMOĆ PRI RJEŠAVANJU STAMBENOG PITANJA MLADIH OBITELJI, planirana u iznosu 26.000,00 EUR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A300907, NAKNADA ZA NOVOROĐENČAD, planirana u iznosu 19.900,00 EUR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A300906, POMOĆ STUDENTIMA, planirana u iznosu 7.300,00 EUR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A300903, NABAVA UDŽBENIKA, planirana u iznosu 19.900,00 EUR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A300902, SUFINCIRANJE TROŠKOVA PRIJEVOZA, planirana u iznosu 13.300,00 EUR</w:t>
      </w:r>
    </w:p>
    <w:p w:rsidR="005101A6" w:rsidRDefault="005101A6" w:rsidP="005101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A300901, SUFINANCIRANJE SMJEŠTAJA U UČENIČKIM DOMOVIMA, planirana u iznosu 6.000,00 EUR</w:t>
      </w: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3008, OSNOVNO I SREDNJOŠKOLSKO OBRAZOVANJE</w:t>
      </w: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sljedećem iznosu: 10.000,00 EUR, a raspoređuje se na sljedeću aktivnost:</w:t>
      </w:r>
    </w:p>
    <w:p w:rsidR="00AE4F7C" w:rsidRDefault="00AE4F7C" w:rsidP="00AE4F7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AKTIVNOST: A300801, ODRŽAVANJE ŠKOLSKIH OBJEKATA, planirana u iznosu 10.000,00 EUR</w:t>
      </w: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3007, RAZVOJ I UPRAVLJANJE SUSTAVA VODOOPSKRBE, ODVODNJE I ZAŠTITE VODA</w:t>
      </w:r>
    </w:p>
    <w:p w:rsidR="00AE4F7C" w:rsidRDefault="00AE4F7C" w:rsidP="00A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30.000,00 EUR, a raspoređen je na sljedeću aktivnost:</w:t>
      </w:r>
    </w:p>
    <w:p w:rsidR="00AE4F7C" w:rsidRDefault="00AE4F7C" w:rsidP="00AE4F7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</w:t>
      </w:r>
      <w:r w:rsidR="005A1BF4">
        <w:rPr>
          <w:rFonts w:ascii="Times New Roman" w:hAnsi="Times New Roman" w:cs="Times New Roman"/>
          <w:sz w:val="24"/>
          <w:szCs w:val="24"/>
        </w:rPr>
        <w:t>ROJEKT: K300701, KANALIZACIJA</w:t>
      </w:r>
    </w:p>
    <w:p w:rsidR="005A1BF4" w:rsidRDefault="005A1BF4" w:rsidP="005A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3006, SOCIJALNA SKRB</w:t>
      </w:r>
    </w:p>
    <w:p w:rsidR="005A1BF4" w:rsidRDefault="005A1BF4" w:rsidP="005A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23.900,00 EUR, a raspoređuje se na sljedeće aktivnosti:</w:t>
      </w:r>
    </w:p>
    <w:p w:rsidR="005A1BF4" w:rsidRDefault="005A1BF4" w:rsidP="005A1B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AKTIVNOSI: A300604, POMOĆ POJEDNICIMA O OBITELJIMA, planirana u iznosu 4.000,</w:t>
      </w:r>
      <w:r w:rsidR="00874C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5A1BF4" w:rsidRDefault="005A1BF4" w:rsidP="005A1B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A300602, PRIGODNI DAROVI UMIROVLJENICIMA, planirana u iznosu 19.900,00 EUR</w:t>
      </w:r>
    </w:p>
    <w:p w:rsidR="005A1BF4" w:rsidRDefault="005A1BF4" w:rsidP="005A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3005, RAZVOJ SPORTA I REKREACIJE</w:t>
      </w:r>
    </w:p>
    <w:p w:rsidR="005A1BF4" w:rsidRDefault="005A1BF4" w:rsidP="005A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727.600,00 EUR, a raspoređuje se kroz sljedeće aktivnosti: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PROJEKT: T300503, ŠPORTSKO REKREACIJSKA ZONA „PLOSNA“ KUNIŠINCI, planirana u iznosu 20.000,00 EUR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PROJEKT: T300502, SPORTSKO REKREACIJSKI I SLIČNI OBJEKTI, planirani u iznosu 10.000,00 EUR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PROJEKT: T300501, REKONSTRUKCIJA I OBNOVA PROSTORIJA NK „MLADOST“ ČRNKOVCI, planiran u iznosu 130.000,00 EUR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 K300501, SPORTSKO REKREACIJSKI CENTAR MARIJANCI, planiran u iznosu 500.000,00 EUR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AKTIVNOST; A300502, OPREMANJE I ODRŽAVANJE DJEČJIH IGRALIŠTA, planiran u iznosu 6.600,00 EUR</w:t>
      </w:r>
    </w:p>
    <w:p w:rsidR="005913EB" w:rsidRDefault="005913EB" w:rsidP="005913E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A300501, SUFINANCIRANJE SPORTSKIH UDRUGA, planira</w:t>
      </w:r>
      <w:r w:rsidR="0038793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 iznosu 61.000,00 EUR</w:t>
      </w:r>
    </w:p>
    <w:p w:rsidR="00387936" w:rsidRDefault="00FB6BE0" w:rsidP="0038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3004, KULTURA I DRUŠTVENA DJELATNOST</w:t>
      </w:r>
    </w:p>
    <w:p w:rsidR="00FB6BE0" w:rsidRDefault="00FB6BE0" w:rsidP="0038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22.000,00 EUR, a raspoređen je na sljedeću aktivnost:</w:t>
      </w:r>
    </w:p>
    <w:p w:rsidR="00FB6BE0" w:rsidRDefault="00FB6BE0" w:rsidP="00FB6BE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A300401, SUFINANCIRANJE UDRUGA IZ KULTURE I DRUŠTVNIH DJELATNOSTI</w:t>
      </w:r>
    </w:p>
    <w:p w:rsidR="00E65B26" w:rsidRPr="00E65B26" w:rsidRDefault="00E65B26" w:rsidP="00E6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Programima 3005 – 3004 </w:t>
      </w:r>
      <w:r w:rsidR="004B384A">
        <w:rPr>
          <w:rFonts w:ascii="Times New Roman" w:hAnsi="Times New Roman" w:cs="Times New Roman"/>
          <w:sz w:val="24"/>
          <w:szCs w:val="24"/>
        </w:rPr>
        <w:t>su obuhvaćeni rashodi za redovan  rad udruga. Cilj ovog programa je okupljanje mještana, posebno mladih putem udruga koje se bave kulturom, umjetnošću, sportom, glazbom. Poticanje kulturnog i umjetničkog stvaralaštva.</w:t>
      </w:r>
    </w:p>
    <w:p w:rsidR="00FB6BE0" w:rsidRDefault="00FB6BE0" w:rsidP="00FB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: 3003, POVRATI ZAJMOVA</w:t>
      </w:r>
    </w:p>
    <w:p w:rsidR="009910E6" w:rsidRDefault="009910E6" w:rsidP="00FB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227.720,00 EUR, a raspoređen je na sljedeću aktivnost:</w:t>
      </w:r>
    </w:p>
    <w:p w:rsidR="009910E6" w:rsidRDefault="009910E6" w:rsidP="009910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AKTIVNOST:A300301, OTPLATA ZAJMOVA</w:t>
      </w:r>
    </w:p>
    <w:p w:rsidR="00C57DC2" w:rsidRDefault="00C57DC2" w:rsidP="00C5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3002, POTICANJE RAZVOJA POLJOPRIVREDE I GOSPODARSTVA</w:t>
      </w:r>
    </w:p>
    <w:p w:rsidR="006F53B8" w:rsidRDefault="006F53B8" w:rsidP="00C5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77.000,00 EUR, a raspoređuje se na sljedeće aktivnosti:</w:t>
      </w:r>
    </w:p>
    <w:p w:rsidR="006F53B8" w:rsidRDefault="006F53B8" w:rsidP="006F53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K300201, INFRASTRUKTURA U PODUZETNIČKOJ ZONI, planiran u iznosu 25.000,00 EUR</w:t>
      </w:r>
    </w:p>
    <w:p w:rsidR="006F53B8" w:rsidRDefault="006F53B8" w:rsidP="006F53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A300203, POTPORE OBRTNICIMA, planirana u iznosu 7.000,00 EUR</w:t>
      </w:r>
    </w:p>
    <w:p w:rsidR="006F53B8" w:rsidRDefault="006F53B8" w:rsidP="006F53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A300201, SUFINANCIRANJE U POLJOPRIVREDI, planirana u iznosu 45.000,00 EUR</w:t>
      </w:r>
    </w:p>
    <w:p w:rsidR="006F53B8" w:rsidRDefault="00D66109" w:rsidP="006F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3001, UPRAVLJANJE IMOVINOM</w:t>
      </w:r>
    </w:p>
    <w:p w:rsidR="00D66109" w:rsidRDefault="00D66109" w:rsidP="006F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85.500,00 EUR, a raspoređen je na sljedeće aktivnosti:</w:t>
      </w:r>
    </w:p>
    <w:p w:rsidR="00D66109" w:rsidRDefault="00D66109" w:rsidP="00D6610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A300102, ODRŽAVANJE ZGRADA I REDOVITO KORIŠTENJE, planirana u iznosu 29.500,00 EUR</w:t>
      </w:r>
    </w:p>
    <w:p w:rsidR="00D66109" w:rsidRDefault="006516D5" w:rsidP="00D6610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</w:t>
      </w:r>
      <w:bookmarkStart w:id="1" w:name="_GoBack"/>
      <w:bookmarkEnd w:id="1"/>
      <w:r w:rsidR="00D66109">
        <w:rPr>
          <w:rFonts w:ascii="Times New Roman" w:hAnsi="Times New Roman" w:cs="Times New Roman"/>
          <w:sz w:val="24"/>
          <w:szCs w:val="24"/>
        </w:rPr>
        <w:t>300101, MATERIJALNI RASHODI I USLUGE,  planirana u iznosu 56.000,00 EUR</w:t>
      </w:r>
    </w:p>
    <w:p w:rsidR="00703A8F" w:rsidRPr="00703A8F" w:rsidRDefault="00703A8F" w:rsidP="0070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održavanje zgrada i materijalni troškovi.</w:t>
      </w:r>
    </w:p>
    <w:p w:rsidR="009910E6" w:rsidRPr="009910E6" w:rsidRDefault="009910E6" w:rsidP="009910E6">
      <w:pPr>
        <w:rPr>
          <w:rFonts w:ascii="Times New Roman" w:hAnsi="Times New Roman" w:cs="Times New Roman"/>
          <w:sz w:val="24"/>
          <w:szCs w:val="24"/>
        </w:rPr>
      </w:pPr>
    </w:p>
    <w:p w:rsidR="00223317" w:rsidRPr="00223317" w:rsidRDefault="00223317" w:rsidP="00223317">
      <w:pPr>
        <w:rPr>
          <w:rFonts w:ascii="Times New Roman" w:hAnsi="Times New Roman" w:cs="Times New Roman"/>
          <w:sz w:val="24"/>
          <w:szCs w:val="24"/>
        </w:rPr>
      </w:pPr>
    </w:p>
    <w:p w:rsidR="008F6294" w:rsidRDefault="008F6294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8F6294" w:rsidRDefault="008F6294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9B2404" w:rsidRPr="009B2404" w:rsidRDefault="009B2404" w:rsidP="001D07D7">
      <w:pPr>
        <w:rPr>
          <w:rFonts w:ascii="Times New Roman" w:hAnsi="Times New Roman" w:cs="Times New Roman"/>
          <w:b/>
          <w:sz w:val="24"/>
          <w:szCs w:val="24"/>
        </w:rPr>
      </w:pPr>
    </w:p>
    <w:p w:rsidR="009B2404" w:rsidRPr="001D07D7" w:rsidRDefault="009B2404" w:rsidP="001D07D7">
      <w:pPr>
        <w:rPr>
          <w:rFonts w:ascii="Times New Roman" w:hAnsi="Times New Roman" w:cs="Times New Roman"/>
          <w:sz w:val="24"/>
          <w:szCs w:val="24"/>
        </w:rPr>
      </w:pPr>
    </w:p>
    <w:sectPr w:rsidR="009B2404" w:rsidRPr="001D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3CB3"/>
    <w:multiLevelType w:val="hybridMultilevel"/>
    <w:tmpl w:val="0ED0BF68"/>
    <w:lvl w:ilvl="0" w:tplc="067053A4">
      <w:start w:val="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C6"/>
    <w:rsid w:val="00046544"/>
    <w:rsid w:val="000873C4"/>
    <w:rsid w:val="001A578D"/>
    <w:rsid w:val="001D07D7"/>
    <w:rsid w:val="00216ED6"/>
    <w:rsid w:val="00223317"/>
    <w:rsid w:val="00230A49"/>
    <w:rsid w:val="0025705B"/>
    <w:rsid w:val="002669C0"/>
    <w:rsid w:val="002C45C4"/>
    <w:rsid w:val="002E3047"/>
    <w:rsid w:val="00387936"/>
    <w:rsid w:val="004653F4"/>
    <w:rsid w:val="004B384A"/>
    <w:rsid w:val="005101A6"/>
    <w:rsid w:val="0051572D"/>
    <w:rsid w:val="00550DC4"/>
    <w:rsid w:val="005913EB"/>
    <w:rsid w:val="005A1BF4"/>
    <w:rsid w:val="005C3CB4"/>
    <w:rsid w:val="005D2AF0"/>
    <w:rsid w:val="005E7070"/>
    <w:rsid w:val="006516D5"/>
    <w:rsid w:val="006A25BA"/>
    <w:rsid w:val="006E2492"/>
    <w:rsid w:val="006F53B8"/>
    <w:rsid w:val="00703A8F"/>
    <w:rsid w:val="0072792E"/>
    <w:rsid w:val="007E3452"/>
    <w:rsid w:val="007F7BA3"/>
    <w:rsid w:val="00821BE4"/>
    <w:rsid w:val="00874C4B"/>
    <w:rsid w:val="008F6294"/>
    <w:rsid w:val="00967341"/>
    <w:rsid w:val="009910E6"/>
    <w:rsid w:val="009B2404"/>
    <w:rsid w:val="00A425EC"/>
    <w:rsid w:val="00AE4F7C"/>
    <w:rsid w:val="00B302E6"/>
    <w:rsid w:val="00B4008C"/>
    <w:rsid w:val="00B931EB"/>
    <w:rsid w:val="00B964DB"/>
    <w:rsid w:val="00C57DC2"/>
    <w:rsid w:val="00C76819"/>
    <w:rsid w:val="00C967C6"/>
    <w:rsid w:val="00D25F47"/>
    <w:rsid w:val="00D51090"/>
    <w:rsid w:val="00D64E77"/>
    <w:rsid w:val="00D66109"/>
    <w:rsid w:val="00E050AC"/>
    <w:rsid w:val="00E56B09"/>
    <w:rsid w:val="00E65B26"/>
    <w:rsid w:val="00E81B55"/>
    <w:rsid w:val="00EA1E77"/>
    <w:rsid w:val="00EA5A50"/>
    <w:rsid w:val="00FB6BE0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4E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E249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4E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E249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56</cp:revision>
  <dcterms:created xsi:type="dcterms:W3CDTF">2023-11-27T07:02:00Z</dcterms:created>
  <dcterms:modified xsi:type="dcterms:W3CDTF">2023-11-29T07:33:00Z</dcterms:modified>
</cp:coreProperties>
</file>